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Программные средства, применяемые в сфере управления проектами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562.1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«Программные средства, применяемые в сфере управления проектами государственно-частного партнерства»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«Программные средства, применяемые в сфере управления проектами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«Программные средства, применяемые в сфере управления проектами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прикладные программные средства, применяемые в сфере управления проектами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программное обеспечение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основные прикладные программные средства и информационные техно-логии, применяемые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анализировать фактические результаты проекта государственно-частного партнерства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использования основных прикладных программных средств и информационных технологий, применяемых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программного обеспечения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24.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«Программные средства, применяемые в сфере управления проектами государственно-частного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механизм реализации проектов</w:t>
            </w:r>
          </w:p>
          <w:p>
            <w:pPr>
              <w:jc w:val="left"/>
              <w:spacing w:after="0" w:line="240" w:lineRule="auto"/>
              <w:rPr>
                <w:sz w:val="24"/>
                <w:szCs w:val="24"/>
              </w:rPr>
            </w:pPr>
            <w:r>
              <w:rPr>
                <w:rFonts w:ascii="Times New Roman" w:hAnsi="Times New Roman" w:cs="Times New Roman"/>
                <w:b/>
                <w:color w:val="#000000"/>
                <w:sz w:val="24"/>
                <w:szCs w:val="24"/>
              </w:rPr>
              <w:t>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Государственно-частное партнерство: сущность и механизм реализации проектов</w:t>
            </w:r>
          </w:p>
          <w:p>
            <w:pPr>
              <w:jc w:val="left"/>
              <w:spacing w:after="0" w:line="240" w:lineRule="auto"/>
              <w:rPr>
                <w:sz w:val="24"/>
                <w:szCs w:val="24"/>
              </w:rPr>
            </w:pPr>
            <w:r>
              <w:rPr>
                <w:rFonts w:ascii="Times New Roman" w:hAnsi="Times New Roman" w:cs="Times New Roman"/>
                <w:color w:val="#000000"/>
                <w:sz w:val="24"/>
                <w:szCs w:val="24"/>
              </w:rPr>
              <w:t> государственно-частного партнерства. Объекты и процессы управления в проектах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инструментарий, применяемый на разных стадиях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Государственно-частное партнерство: сущность и механизм реализации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процессы управления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отдельными функциональными областями проектов государственно- частногопартнерства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инструментарий, применяемый на разных стадиях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Программные средства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интеграцией и содержанием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управления проектами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71.9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Государственно-частное партнерство: сущность и механизм реализации проектов</w:t>
            </w:r>
          </w:p>
          <w:p>
            <w:pPr>
              <w:jc w:val="center"/>
              <w:spacing w:after="0" w:line="240" w:lineRule="auto"/>
              <w:rPr>
                <w:sz w:val="24"/>
                <w:szCs w:val="24"/>
              </w:rPr>
            </w:pPr>
            <w:r>
              <w:rPr>
                <w:rFonts w:ascii="Times New Roman" w:hAnsi="Times New Roman" w:cs="Times New Roman"/>
                <w:b/>
                <w:color w:val="#000000"/>
                <w:sz w:val="24"/>
                <w:szCs w:val="24"/>
              </w:rPr>
              <w:t> государственно-частного партнерства. Объекты и процессы управления в проектах государственно-частного партнерства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государственно-частного партнерства.  Организационные основы управленияпроектамигосударственно-частного партнерства. Опыт развития государственно-частного партнерствав регионах РФ.</w:t>
            </w:r>
          </w:p>
          <w:p>
            <w:pPr>
              <w:jc w:val="both"/>
              <w:spacing w:after="0" w:line="240" w:lineRule="auto"/>
              <w:rPr>
                <w:sz w:val="24"/>
                <w:szCs w:val="24"/>
              </w:rPr>
            </w:pPr>
            <w:r>
              <w:rPr>
                <w:rFonts w:ascii="Times New Roman" w:hAnsi="Times New Roman" w:cs="Times New Roman"/>
                <w:color w:val="#000000"/>
                <w:sz w:val="24"/>
                <w:szCs w:val="24"/>
              </w:rPr>
              <w:t> Объекты управления в проектах государственно-частногопартнерства. Основные процессы в управлении проектамигосударственно-частного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инструментарий, применяемый на разных стадиях проектов государственно-частного партнерства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заинтересованными сторонами проектовгосударственно-частного партнерства: возможностьсоздания эффекта синергии. Особенности финансирования проектов государственно-частного партнерства. Управление рисками проектов государственно-частногопартнерства</w:t>
            </w:r>
          </w:p>
          <w:p>
            <w:pPr>
              <w:jc w:val="both"/>
              <w:spacing w:after="0" w:line="240" w:lineRule="auto"/>
              <w:rPr>
                <w:sz w:val="24"/>
                <w:szCs w:val="24"/>
              </w:rPr>
            </w:pPr>
            <w:r>
              <w:rPr>
                <w:rFonts w:ascii="Times New Roman" w:hAnsi="Times New Roman" w:cs="Times New Roman"/>
                <w:color w:val="#000000"/>
                <w:sz w:val="24"/>
                <w:szCs w:val="24"/>
              </w:rPr>
              <w:t> Использование институционально-стоимостногоподхода на стадии инициации проектов государственночастного партнерства. Методический инструментарий оценки эффективности</w:t>
            </w:r>
          </w:p>
          <w:p>
            <w:pPr>
              <w:jc w:val="both"/>
              <w:spacing w:after="0" w:line="240" w:lineRule="auto"/>
              <w:rPr>
                <w:sz w:val="24"/>
                <w:szCs w:val="24"/>
              </w:rPr>
            </w:pPr>
            <w:r>
              <w:rPr>
                <w:rFonts w:ascii="Times New Roman" w:hAnsi="Times New Roman" w:cs="Times New Roman"/>
                <w:color w:val="#000000"/>
                <w:sz w:val="24"/>
                <w:szCs w:val="24"/>
              </w:rPr>
              <w:t> и отбора проектов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Методические основы управления портфелем проектовгосударственно-частного партнерства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управления проектами</w:t>
            </w:r>
          </w:p>
        </w:tc>
      </w:tr>
      <w:tr>
        <w:trPr>
          <w:trHeight w:hRule="exact" w:val="1470.7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Программные средства управления проектами</w:t>
            </w:r>
          </w:p>
          <w:p>
            <w:pPr>
              <w:jc w:val="both"/>
              <w:spacing w:after="0" w:line="240" w:lineRule="auto"/>
              <w:rPr>
                <w:sz w:val="24"/>
                <w:szCs w:val="24"/>
              </w:rPr>
            </w:pPr>
            <w:r>
              <w:rPr>
                <w:rFonts w:ascii="Times New Roman" w:hAnsi="Times New Roman" w:cs="Times New Roman"/>
                <w:color w:val="#000000"/>
                <w:sz w:val="24"/>
                <w:szCs w:val="24"/>
              </w:rPr>
              <w:t> Содержание стандартов управления проектами. Концепции управления проектами. Участники проекта и их задачи. Общие особенности проектной деятельности. Окружение проекта. Организационная структура проекта. Основные типы структур организаций, осуществляющих внедрение ИС. Организационнаяструктурапроекта.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Этапыпроектоввнедрениявметодологиях On Target, Microsoft Business Solutions Partner Methodology, Microsoft Dynamics Sure Step (MDSS), OneMethodology, Application Implementation Method (AIM). Цели и содержание этапов внедрения. Разработка корпоративной методологии внедрения. Соотношение ЖЦИС и жизненного цикла проекта внедрения ИС. Использование средств языка UML для разработки проектов внедрения ИС.</w:t>
            </w:r>
          </w:p>
          <w:p>
            <w:pPr>
              <w:jc w:val="both"/>
              <w:spacing w:after="0" w:line="240" w:lineRule="auto"/>
              <w:rPr>
                <w:sz w:val="24"/>
                <w:szCs w:val="24"/>
              </w:rPr>
            </w:pPr>
            <w:r>
              <w:rPr>
                <w:rFonts w:ascii="Times New Roman" w:hAnsi="Times New Roman" w:cs="Times New Roman"/>
                <w:color w:val="#000000"/>
                <w:sz w:val="24"/>
                <w:szCs w:val="24"/>
              </w:rPr>
              <w:t> Унифицированная модель организации внедрения решений в методологии MSF</w:t>
            </w:r>
          </w:p>
          <w:p>
            <w:pPr>
              <w:jc w:val="both"/>
              <w:spacing w:after="0" w:line="240" w:lineRule="auto"/>
              <w:rPr>
                <w:sz w:val="24"/>
                <w:szCs w:val="24"/>
              </w:rPr>
            </w:pPr>
            <w:r>
              <w:rPr>
                <w:rFonts w:ascii="Times New Roman" w:hAnsi="Times New Roman" w:cs="Times New Roman"/>
                <w:color w:val="#000000"/>
                <w:sz w:val="24"/>
                <w:szCs w:val="24"/>
              </w:rPr>
              <w:t> Модель процессов MSF. Фазы и вехи проекта внедрения. Модель команды проекта. Ролевые кластеры команды проекта. Масштабирование проектной команды. Организация исполнения проекта.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сроками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сроками проекта</w:t>
            </w:r>
          </w:p>
          <w:p>
            <w:pPr>
              <w:jc w:val="both"/>
              <w:spacing w:after="0" w:line="240" w:lineRule="auto"/>
              <w:rPr>
                <w:sz w:val="24"/>
                <w:szCs w:val="24"/>
              </w:rPr>
            </w:pPr>
            <w:r>
              <w:rPr>
                <w:rFonts w:ascii="Times New Roman" w:hAnsi="Times New Roman" w:cs="Times New Roman"/>
                <w:color w:val="#000000"/>
                <w:sz w:val="24"/>
                <w:szCs w:val="24"/>
              </w:rPr>
              <w:t> Определение состава операций. Инструменты и методы. Список плановых операций. Параметры операций. Список контрольных событий. Определение взаимосвязи операций. Оценка ресурсов операций. Инструменты и методы. Требования к ресурсам операции. Календарь ресурсов. Оценка длительности операций. Понятие длительности операций, периода времени выполнения операций. Разработка расписания. Базовый план расписания. Управление расписанием. Отчетность о прогрессе проекта. Анализ отклонений по срокам. Управление расписанием.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проекта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проекта</w:t>
            </w:r>
          </w:p>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Планирование управления рисками. Идентификация рисков. Классификация рисков ИТ-проектов. Оценка рисков. Качественный анализ рисков. Количественный анализ рисков. Планирование реагирования на риски. Мониторинг и управление рисками. Инструментальные средства и процедуры, используемые для управления рисками проекта.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проекта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«Программные средства, применяемые в сфере управления проектами государственно-частного партнерства»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Евсеева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Раменская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https://urait.ru/bcode/469199</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210.79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4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2024-2025_ФГОС3++2024_Маг-ОФО-ГМУ(ГРЭ)(24)_plx_Программные средства_ применяемые в сфере управления проектами государственно-частного партнерства</dc:title>
  <dc:creator>FastReport.NET</dc:creator>
</cp:coreProperties>
</file>